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38FD8"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422F93E" w14:textId="77777777" w:rsidR="009957CF" w:rsidRPr="00297C95" w:rsidRDefault="009957CF" w:rsidP="009957CF">
      <w:pPr>
        <w:spacing w:after="0" w:line="276" w:lineRule="auto"/>
        <w:jc w:val="right"/>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ՆԱԽԱԳԻԾ</w:t>
      </w:r>
    </w:p>
    <w:p w14:paraId="6CC07924"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ՀԱՅԱՍՏԱՆԻ ՀԱՆՐԱՊԵՏՈՒԹՅԱՆ</w:t>
      </w:r>
      <w:r w:rsidRPr="00297C95">
        <w:rPr>
          <w:rFonts w:ascii="Sylfaen" w:hAnsi="Sylfaen" w:cs="Calibri"/>
          <w:b/>
          <w:bCs/>
          <w:sz w:val="24"/>
          <w:szCs w:val="24"/>
          <w:shd w:val="clear" w:color="auto" w:fill="FFFFFF"/>
          <w:lang w:val="hy-AM"/>
        </w:rPr>
        <w:t> </w:t>
      </w:r>
      <w:r w:rsidRPr="00297C95">
        <w:rPr>
          <w:rFonts w:ascii="Sylfaen" w:hAnsi="Sylfaen"/>
          <w:b/>
          <w:bCs/>
          <w:sz w:val="24"/>
          <w:szCs w:val="24"/>
          <w:shd w:val="clear" w:color="auto" w:fill="FFFFFF"/>
          <w:lang w:val="hy-AM"/>
        </w:rPr>
        <w:br/>
        <w:t>ՕՐԵՆՔԸ</w:t>
      </w:r>
    </w:p>
    <w:p w14:paraId="2EF44E12"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«ՆՈՐՄԱՏԻՎ ԻՐԱՎԱԿԱՆ ԱԿՏԵՐԻ ՄԱՍԻՆ» ՕՐԵՆՔՈՒՄ ՓՈՓՈԽՈՒԹՅՈՒՆՆԵՐ ԿԱՏԱՐԵԼՈՒ ՄԱՍԻՆ</w:t>
      </w:r>
    </w:p>
    <w:p w14:paraId="6D63C2E8" w14:textId="77777777" w:rsidR="009957CF" w:rsidRPr="00297C95" w:rsidRDefault="009957CF" w:rsidP="009957CF">
      <w:pPr>
        <w:spacing w:after="0" w:line="276" w:lineRule="auto"/>
        <w:jc w:val="both"/>
        <w:rPr>
          <w:rFonts w:ascii="Sylfaen" w:hAnsi="Sylfaen"/>
          <w:b/>
          <w:bCs/>
          <w:sz w:val="24"/>
          <w:szCs w:val="24"/>
          <w:shd w:val="clear" w:color="auto" w:fill="FFFFFF"/>
          <w:lang w:val="hy-AM"/>
        </w:rPr>
      </w:pPr>
    </w:p>
    <w:p w14:paraId="27392B3B"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
          <w:bCs/>
          <w:sz w:val="24"/>
          <w:szCs w:val="24"/>
          <w:shd w:val="clear" w:color="auto" w:fill="FFFFFF"/>
          <w:lang w:val="hy-AM"/>
        </w:rPr>
        <w:tab/>
        <w:t xml:space="preserve">Հոդված 1. </w:t>
      </w:r>
      <w:r w:rsidRPr="00297C95">
        <w:rPr>
          <w:rFonts w:ascii="Sylfaen" w:hAnsi="Sylfaen"/>
          <w:bCs/>
          <w:sz w:val="24"/>
          <w:szCs w:val="24"/>
          <w:shd w:val="clear" w:color="auto" w:fill="FFFFFF"/>
          <w:lang w:val="hy-AM"/>
        </w:rPr>
        <w:t>«Նորմատիվ իրավական ակտերի մասին» 2018 թվականի մարտի 21-ի ՀՕ-180-Ն օրենքի (այսուհետ՝ Օրենք)՝</w:t>
      </w:r>
    </w:p>
    <w:p w14:paraId="573C2E1B"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1) 4-րդ հոդվածի 1-ին մասը շարադրել նոր խմբագրությամբ՝ հետևյալ բովանդակությամբ.</w:t>
      </w:r>
    </w:p>
    <w:p w14:paraId="3AC19A13"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«1. Հանրային քննարկումը կազմակերպում են ակտն ընդունելու իրավասություն ունեցող մարմինը կամ Կառավարության անդամը, ինչպես նաև Կառավարությանը, վարչապետին ենթակա մարմինները, իսկ վարչապետին նախագիծ առաջարկելու իրավասություն ունենալու դեպքում՝ տեղական ինքնակառավարման մարմինները:».</w:t>
      </w:r>
    </w:p>
    <w:p w14:paraId="3040A3B2"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2) 6-րդ հոդվածի 4-րդ մասը շարադրել նոր խմբագրությամբ՝ հետևյալ բովանդակությամբ.</w:t>
      </w:r>
    </w:p>
    <w:p w14:paraId="3AD4A082"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t>«4. Նորմատիվ իրավական ակտի նախագիծը հիմնավորման հետ մեկտեղ փորձաքննության են ուղարկում համապատասխան ակտն ընդունելու իրավասություն ունեցող մարմինը կամ Կառավարության անդամը, ինչպես նաև Կառավարությանը և վարչապետին ենթակա մարմինները, իսկ վարչապետին նախագիծ առաջարկելու իրավասություն ունենալու դեպքում՝ տեղական ինքնակառավարման մարմինները:»:</w:t>
      </w:r>
    </w:p>
    <w:p w14:paraId="0A1E6196"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sz w:val="24"/>
          <w:szCs w:val="24"/>
          <w:shd w:val="clear" w:color="auto" w:fill="FFFFFF"/>
          <w:lang w:val="hy-AM"/>
        </w:rPr>
        <w:tab/>
      </w:r>
      <w:r w:rsidRPr="00297C95">
        <w:rPr>
          <w:rFonts w:ascii="Sylfaen" w:hAnsi="Sylfaen"/>
          <w:b/>
          <w:bCs/>
          <w:sz w:val="24"/>
          <w:szCs w:val="24"/>
          <w:shd w:val="clear" w:color="auto" w:fill="FFFFFF"/>
          <w:lang w:val="hy-AM"/>
        </w:rPr>
        <w:t>Հոդված 2.</w:t>
      </w:r>
      <w:r w:rsidRPr="00297C95">
        <w:rPr>
          <w:rFonts w:ascii="Sylfaen" w:hAnsi="Sylfaen"/>
          <w:bCs/>
          <w:sz w:val="24"/>
          <w:szCs w:val="24"/>
          <w:shd w:val="clear" w:color="auto" w:fill="FFFFFF"/>
          <w:lang w:val="hy-AM"/>
        </w:rPr>
        <w:t xml:space="preserve"> Սույն օրենքն ուժի մեջ է մտնում պաշտոնական հրապարակման օրվանից մեկ ամիս հետո: Ենթաօրենսդրական նորմատիվ իրավական ակտերում սույն օրենքի ընդունումից բխող փոփոխությունները կատարվում են սույն օրենքի ընդունումից հետո մեկամսյա ժամկետում:</w:t>
      </w:r>
    </w:p>
    <w:p w14:paraId="4A928079"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15778A5"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3BC583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B90FCA4"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438DE1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4AC1EB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A2466D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18B388E"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55055442" w14:textId="77777777" w:rsidR="009957CF" w:rsidRDefault="009957CF" w:rsidP="009957CF">
      <w:pPr>
        <w:spacing w:after="0" w:line="276" w:lineRule="auto"/>
        <w:jc w:val="both"/>
        <w:rPr>
          <w:rFonts w:ascii="Sylfaen" w:hAnsi="Sylfaen"/>
          <w:bCs/>
          <w:sz w:val="24"/>
          <w:szCs w:val="24"/>
          <w:shd w:val="clear" w:color="auto" w:fill="FFFFFF"/>
          <w:lang w:val="hy-AM"/>
        </w:rPr>
      </w:pPr>
    </w:p>
    <w:p w14:paraId="487E5C6B"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32AC3E2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4D92A5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A3B4DE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029B859"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5B91DEBC"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061AB92E"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ECAA6" w14:textId="77777777" w:rsidR="00453F18" w:rsidRDefault="00453F18" w:rsidP="001109EC">
      <w:pPr>
        <w:spacing w:after="0" w:line="240" w:lineRule="auto"/>
      </w:pPr>
      <w:r>
        <w:separator/>
      </w:r>
    </w:p>
  </w:endnote>
  <w:endnote w:type="continuationSeparator" w:id="0">
    <w:p w14:paraId="5823AA64" w14:textId="77777777" w:rsidR="00453F18" w:rsidRDefault="00453F18"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5F3C2" w14:textId="77777777" w:rsidR="00453F18" w:rsidRDefault="00453F18" w:rsidP="001109EC">
      <w:pPr>
        <w:spacing w:after="0" w:line="240" w:lineRule="auto"/>
      </w:pPr>
      <w:r>
        <w:separator/>
      </w:r>
    </w:p>
  </w:footnote>
  <w:footnote w:type="continuationSeparator" w:id="0">
    <w:p w14:paraId="4F07622D" w14:textId="77777777" w:rsidR="00453F18" w:rsidRDefault="00453F18"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53F18"/>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13278"/>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23397-4953-46E2-8123-297E999B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2025-02-27T12:37:00Z</dcterms:created>
  <dcterms:modified xsi:type="dcterms:W3CDTF">2025-02-27T12:37:00Z</dcterms:modified>
</cp:coreProperties>
</file>